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30FC" w14:textId="46E1B462" w:rsidR="008D657F" w:rsidRPr="008D657F" w:rsidRDefault="008D657F" w:rsidP="00CF56DA">
      <w:pPr>
        <w:spacing w:before="0" w:beforeAutospacing="0" w:after="0" w:afterAutospacing="0"/>
        <w:jc w:val="center"/>
        <w:rPr>
          <w:b/>
          <w:bCs/>
        </w:rPr>
      </w:pPr>
      <w:r w:rsidRPr="008D657F">
        <w:rPr>
          <w:b/>
          <w:bCs/>
        </w:rPr>
        <w:t>KARŞILAŞTIRMA CETVELİ</w:t>
      </w:r>
    </w:p>
    <w:p w14:paraId="1A5415EC" w14:textId="0C71A4B3" w:rsidR="008D657F" w:rsidRDefault="008D657F" w:rsidP="00CF56DA">
      <w:pPr>
        <w:spacing w:before="0" w:beforeAutospacing="0" w:after="0" w:afterAutospacing="0"/>
        <w:jc w:val="center"/>
      </w:pPr>
      <w:r>
        <w:t>TBB Meslek Kuralları</w:t>
      </w:r>
    </w:p>
    <w:tbl>
      <w:tblPr>
        <w:tblStyle w:val="TabloKlavuzu"/>
        <w:tblW w:w="0" w:type="auto"/>
        <w:tblLook w:val="04A0" w:firstRow="1" w:lastRow="0" w:firstColumn="1" w:lastColumn="0" w:noHBand="0" w:noVBand="1"/>
      </w:tblPr>
      <w:tblGrid>
        <w:gridCol w:w="6497"/>
        <w:gridCol w:w="6497"/>
      </w:tblGrid>
      <w:tr w:rsidR="008D657F" w:rsidRPr="008D657F" w14:paraId="42A35E85" w14:textId="77777777" w:rsidTr="008D657F">
        <w:tc>
          <w:tcPr>
            <w:tcW w:w="6497" w:type="dxa"/>
          </w:tcPr>
          <w:p w14:paraId="6454727A" w14:textId="08AF6182" w:rsidR="008D657F" w:rsidRPr="008D657F" w:rsidRDefault="008D657F" w:rsidP="008D657F">
            <w:pPr>
              <w:jc w:val="center"/>
              <w:rPr>
                <w:b/>
                <w:bCs/>
              </w:rPr>
            </w:pPr>
            <w:r w:rsidRPr="008D657F">
              <w:rPr>
                <w:b/>
                <w:bCs/>
              </w:rPr>
              <w:t>MEVCUT METİN</w:t>
            </w:r>
          </w:p>
        </w:tc>
        <w:tc>
          <w:tcPr>
            <w:tcW w:w="6497" w:type="dxa"/>
          </w:tcPr>
          <w:p w14:paraId="16B897C7" w14:textId="3EF81E90" w:rsidR="008D657F" w:rsidRPr="008D657F" w:rsidRDefault="008D657F" w:rsidP="008D657F">
            <w:pPr>
              <w:jc w:val="center"/>
              <w:rPr>
                <w:b/>
                <w:bCs/>
              </w:rPr>
            </w:pPr>
            <w:r w:rsidRPr="008D657F">
              <w:rPr>
                <w:b/>
                <w:bCs/>
              </w:rPr>
              <w:t>ÖNERİLEN</w:t>
            </w:r>
          </w:p>
        </w:tc>
      </w:tr>
      <w:tr w:rsidR="008D657F" w14:paraId="6265A15D" w14:textId="77777777" w:rsidTr="008D657F">
        <w:tc>
          <w:tcPr>
            <w:tcW w:w="6497" w:type="dxa"/>
          </w:tcPr>
          <w:p w14:paraId="106DFB1F" w14:textId="5945F630" w:rsidR="008D657F" w:rsidRDefault="008D657F">
            <w:r>
              <w:t>3. Avukat, mesleki çalışmasını kamunun inancını ve mesleğe güvenini sağlayacak biçimde ve işine tam bir sadakatle yürütür.</w:t>
            </w:r>
          </w:p>
        </w:tc>
        <w:tc>
          <w:tcPr>
            <w:tcW w:w="6497" w:type="dxa"/>
          </w:tcPr>
          <w:p w14:paraId="1E171149" w14:textId="77777777" w:rsidR="008D657F" w:rsidRDefault="008D657F">
            <w:r>
              <w:t>3. Avukat, mesleki çalışmasını kamunun inancını ve mesleğe güvenini sağlayacak biçimde ve işine tam bir sadakatle yürütür.</w:t>
            </w:r>
          </w:p>
          <w:p w14:paraId="66478FD4" w14:textId="1C7B1426" w:rsidR="001E3C17" w:rsidRPr="00262C12" w:rsidRDefault="008D657F">
            <w:pPr>
              <w:rPr>
                <w:color w:val="FF0000"/>
              </w:rPr>
            </w:pPr>
            <w:r w:rsidRPr="008D657F">
              <w:rPr>
                <w:color w:val="FF0000"/>
              </w:rPr>
              <w:t xml:space="preserve">Avukat </w:t>
            </w:r>
            <w:r w:rsidR="00EC026F">
              <w:rPr>
                <w:color w:val="FF0000"/>
              </w:rPr>
              <w:t xml:space="preserve">meslektaşlarıyla ilişkilerinde, </w:t>
            </w:r>
            <w:r w:rsidRPr="008D657F">
              <w:rPr>
                <w:color w:val="FF0000"/>
              </w:rPr>
              <w:t>mesleki faaliyetlerinde ve meslek örgütüne ilişkin çalışmalarında dil, ırk, renk, cinsiyet, siyasi düşünce, felsefi inanç, din, mezhep ve benzeri sebeplerle ayrım yapmama ilkesini gözetir. Avukatın işi reddetme ve işi takipten vazgeçme hakkı saklıdır.</w:t>
            </w:r>
          </w:p>
        </w:tc>
      </w:tr>
      <w:tr w:rsidR="008D657F" w14:paraId="425206DA" w14:textId="77777777" w:rsidTr="008D657F">
        <w:tc>
          <w:tcPr>
            <w:tcW w:w="6497" w:type="dxa"/>
          </w:tcPr>
          <w:p w14:paraId="6FEC5575" w14:textId="04FA252A" w:rsidR="008D657F" w:rsidRDefault="008D657F">
            <w:r>
              <w:t>4. Avukat, mesleğin itibarını zedeleyecek her türlü tutum ve davranıştan kaçınmak zorundadır. Avukat, özel yaşantısında da buna özenmekle yükümlüdür.</w:t>
            </w:r>
          </w:p>
        </w:tc>
        <w:tc>
          <w:tcPr>
            <w:tcW w:w="6497" w:type="dxa"/>
          </w:tcPr>
          <w:p w14:paraId="58976030" w14:textId="04F532E1" w:rsidR="008D657F" w:rsidRPr="00262C12" w:rsidRDefault="008D657F">
            <w:r>
              <w:t xml:space="preserve">4. Avukat, mesleğin itibarını zedeleyecek her türlü tutum ve davranıştan kaçınmak zorundadır. Avukat, </w:t>
            </w:r>
            <w:r>
              <w:rPr>
                <w:color w:val="FF0000"/>
              </w:rPr>
              <w:t>mesleki yaşam</w:t>
            </w:r>
            <w:r w:rsidRPr="00E175AA">
              <w:rPr>
                <w:color w:val="FF0000"/>
              </w:rPr>
              <w:t xml:space="preserve">ıyla bütünleşen </w:t>
            </w:r>
            <w:r>
              <w:t>özel yaşantısında da buna özenmekle yükümlüdür.</w:t>
            </w:r>
          </w:p>
        </w:tc>
      </w:tr>
      <w:tr w:rsidR="008D657F" w14:paraId="72B3EB2B" w14:textId="77777777" w:rsidTr="008D657F">
        <w:tc>
          <w:tcPr>
            <w:tcW w:w="6497" w:type="dxa"/>
          </w:tcPr>
          <w:p w14:paraId="76748C73" w14:textId="3D47981A" w:rsidR="008D657F" w:rsidRDefault="008D657F">
            <w:r>
              <w:t>20. Avukatlar ve avukat stajyerleri, mesleğe yaraşır bir kılık ve kıyafetle mahkemelerde görev yaparlar. Duruşmalara, Türkiye Barolar Birliği’nce şekli saptanmış cübbe ile ve temiz bir kıyafetle çıkarlar. Erkek avukatlar, iklim ve mevsim koşullarının elverdiği ölçüde kravat takarlar.</w:t>
            </w:r>
          </w:p>
        </w:tc>
        <w:tc>
          <w:tcPr>
            <w:tcW w:w="6497" w:type="dxa"/>
          </w:tcPr>
          <w:p w14:paraId="68C6021B" w14:textId="77777777" w:rsidR="001E3C17" w:rsidRDefault="001E3C17">
            <w:pPr>
              <w:rPr>
                <w:strike/>
              </w:rPr>
            </w:pPr>
            <w:r>
              <w:t>20</w:t>
            </w:r>
            <w:r w:rsidR="008D657F">
              <w:t xml:space="preserve">. Avukatlar ve avukat stajyerleri, mesleğe yaraşır bir kılık ve kıyafetle mahkemelerde görev yaparlar. Duruşmalara, Türkiye Barolar Birliği’nce şekli saptanmış cübbe ile </w:t>
            </w:r>
            <w:r w:rsidR="008D657F" w:rsidRPr="00925DBC">
              <w:rPr>
                <w:strike/>
              </w:rPr>
              <w:t>ve temiz bir kıyafetle</w:t>
            </w:r>
            <w:r w:rsidR="008D657F">
              <w:t xml:space="preserve"> çıkarlar. </w:t>
            </w:r>
            <w:r w:rsidR="008D657F" w:rsidRPr="00925DBC">
              <w:rPr>
                <w:strike/>
              </w:rPr>
              <w:t>Erkek avukatlar, iklim ve mevsim koşullarının elverdiği ölçüde kravat takarlar.</w:t>
            </w:r>
          </w:p>
          <w:p w14:paraId="703D174D" w14:textId="3ED0EEBE" w:rsidR="00262C12" w:rsidRPr="00262C12" w:rsidRDefault="00262C12">
            <w:pPr>
              <w:rPr>
                <w:strike/>
              </w:rPr>
            </w:pPr>
            <w:r>
              <w:t>(Gerekçe: Kanun değişikliği sonrası Avukatlık Kanunu’na uygun hâle getirme zorunluluğu nedeniyle)</w:t>
            </w:r>
          </w:p>
        </w:tc>
      </w:tr>
      <w:tr w:rsidR="008D657F" w14:paraId="4DE7B758" w14:textId="77777777" w:rsidTr="008D657F">
        <w:tc>
          <w:tcPr>
            <w:tcW w:w="6497" w:type="dxa"/>
          </w:tcPr>
          <w:p w14:paraId="6E8135BD" w14:textId="5A0C1563" w:rsidR="008D657F" w:rsidRDefault="008D657F">
            <w:r>
              <w:t>22. Avukat savunma için zorunlu olmadıkça davanın uzaması sonucuna varacak isteklerden kaçınır.</w:t>
            </w:r>
          </w:p>
        </w:tc>
        <w:tc>
          <w:tcPr>
            <w:tcW w:w="6497" w:type="dxa"/>
          </w:tcPr>
          <w:p w14:paraId="6DF793A3" w14:textId="793C06C8" w:rsidR="008D657F" w:rsidRDefault="008D657F" w:rsidP="008D657F">
            <w:r>
              <w:t xml:space="preserve">22. Avukat savunma için </w:t>
            </w:r>
            <w:r w:rsidRPr="008D657F">
              <w:rPr>
                <w:strike/>
              </w:rPr>
              <w:t>zorunlu</w:t>
            </w:r>
            <w:r>
              <w:t xml:space="preserve"> </w:t>
            </w:r>
            <w:r w:rsidRPr="008D657F">
              <w:rPr>
                <w:color w:val="FF0000"/>
              </w:rPr>
              <w:t xml:space="preserve">gerekli </w:t>
            </w:r>
            <w:r>
              <w:t>olmadıkça davanın uzaması sonucuna varacak isteklerden kaçınır.</w:t>
            </w:r>
          </w:p>
        </w:tc>
      </w:tr>
      <w:tr w:rsidR="008D657F" w14:paraId="14F5378A" w14:textId="77777777" w:rsidTr="008D657F">
        <w:tc>
          <w:tcPr>
            <w:tcW w:w="6497" w:type="dxa"/>
          </w:tcPr>
          <w:p w14:paraId="2665CAB0" w14:textId="77777777" w:rsidR="008D657F" w:rsidRDefault="008D657F">
            <w:r>
              <w:t xml:space="preserve">23. Hakimin reddi, savcıların ve başkaca adalet görevlilerinin reddi veya şikayet edilmesi konusunda ve genellikle </w:t>
            </w:r>
            <w:r>
              <w:lastRenderedPageBreak/>
              <w:t>konuşmalarında ve yazılarında avukat, kanunun gerektirdiği gerekçeleri amacı aşmayacak biçimde açıklar.</w:t>
            </w:r>
          </w:p>
          <w:p w14:paraId="7B51B6BF" w14:textId="48CAC7F5" w:rsidR="008D657F" w:rsidRDefault="008D657F">
            <w:r>
              <w:t>Ret veya şikayet dileklerinin bir örneği de baroya verilir.</w:t>
            </w:r>
          </w:p>
        </w:tc>
        <w:tc>
          <w:tcPr>
            <w:tcW w:w="6497" w:type="dxa"/>
          </w:tcPr>
          <w:p w14:paraId="6C0D1CF7" w14:textId="77777777" w:rsidR="008D657F" w:rsidRPr="008D657F" w:rsidRDefault="008D657F">
            <w:pPr>
              <w:rPr>
                <w:strike/>
              </w:rPr>
            </w:pPr>
            <w:r>
              <w:lastRenderedPageBreak/>
              <w:t xml:space="preserve">23. </w:t>
            </w:r>
            <w:r w:rsidRPr="008D657F">
              <w:rPr>
                <w:strike/>
              </w:rPr>
              <w:t xml:space="preserve">Hakimin reddi, savcıların ve başkaca adalet görevlilerinin reddi veya şikayet edilmesi konusunda ve genellikle </w:t>
            </w:r>
            <w:r w:rsidRPr="008D657F">
              <w:rPr>
                <w:strike/>
              </w:rPr>
              <w:lastRenderedPageBreak/>
              <w:t>konuşmalarında ve yazılarında avukat, kanunun gerektirdiği gerekçeleri amacı aşmayacak biçimde açıklar.</w:t>
            </w:r>
          </w:p>
          <w:p w14:paraId="75E42704" w14:textId="77777777" w:rsidR="008D657F" w:rsidRDefault="008D657F">
            <w:pPr>
              <w:rPr>
                <w:strike/>
              </w:rPr>
            </w:pPr>
            <w:r w:rsidRPr="008D657F">
              <w:rPr>
                <w:strike/>
              </w:rPr>
              <w:t>Ret veya şikayet dileklerinin bir örneği de baroya verilir.</w:t>
            </w:r>
          </w:p>
          <w:p w14:paraId="08DCAD69" w14:textId="4893042F" w:rsidR="001E3C17" w:rsidRPr="008D657F" w:rsidRDefault="008D657F">
            <w:r>
              <w:t>(</w:t>
            </w:r>
            <w:r w:rsidR="00262C12">
              <w:t xml:space="preserve">Gerekçe: </w:t>
            </w:r>
            <w:r>
              <w:t>Danıştay 8. Daire 15.10.2015 tarih ve 2015/3582-8680 sayılı bozma sonrası iptal kararı nedeniyle)</w:t>
            </w:r>
          </w:p>
        </w:tc>
      </w:tr>
      <w:tr w:rsidR="00E57297" w14:paraId="3EC9707A" w14:textId="77777777" w:rsidTr="008D657F">
        <w:tc>
          <w:tcPr>
            <w:tcW w:w="6497" w:type="dxa"/>
          </w:tcPr>
          <w:p w14:paraId="737E5A38" w14:textId="77777777" w:rsidR="00E57297" w:rsidRDefault="00E57297" w:rsidP="00E57297">
            <w:r>
              <w:lastRenderedPageBreak/>
              <w:t>27. Hiçbir avukat, herhangi bir meslektaşı özellikle hasım vekili meslektaşı hakkında küçük düşürücü nitelikteki kişisel görüşlerini açıkça belirtemez.</w:t>
            </w:r>
          </w:p>
          <w:p w14:paraId="1F672296" w14:textId="77777777" w:rsidR="00E57297" w:rsidRDefault="00E57297" w:rsidP="00E57297">
            <w:r>
              <w:t>Bir avukat, başka bir avukata karşı asıl ya da vekil sıfatıyla takip edeceği davayı kendi barosuna bir yazı ile bildirir. Bu kural, bilgi verme yükümlülüğü ile bağlı olarak baroların ve Türkiye Barolar Birliği’nin üçüncü şahısların aleyhine veya üçüncü şahısların barolar ve TBB aleyhine açacağı davalar için de geçerlidir.</w:t>
            </w:r>
          </w:p>
          <w:p w14:paraId="1E606AEC" w14:textId="52A688CB" w:rsidR="00E57297" w:rsidRDefault="00E57297" w:rsidP="00E57297">
            <w:r>
              <w:t>Resmi ya da özel kuruluşlarda bağımlı olarak birlikte çalışan avukatlar, kadro görevleri ne olursa olsun, adalet ve eşitlik ilkelerinden ayrılmamaya ve iş dağıtımı, denetimi ve her türlü iş ilişkilerinde meslek dayanışmasına ve onuruna uymayan davranışlardan kaçınmaya özen göstermekle yükümlüdürler.</w:t>
            </w:r>
          </w:p>
        </w:tc>
        <w:tc>
          <w:tcPr>
            <w:tcW w:w="6497" w:type="dxa"/>
          </w:tcPr>
          <w:p w14:paraId="19A6749E" w14:textId="77777777" w:rsidR="00E57297" w:rsidRDefault="00E57297" w:rsidP="00E57297">
            <w:r>
              <w:t>27. Hiçbir avukat, herhangi bir meslektaşı özellikle hasım vekili meslektaşı hakkında küçük düşürücü nitelikteki kişisel görüşlerini açıkça belirtemez.</w:t>
            </w:r>
          </w:p>
          <w:p w14:paraId="21D49B48" w14:textId="77777777" w:rsidR="00E57297" w:rsidRPr="00E57297" w:rsidRDefault="00E57297" w:rsidP="00E57297">
            <w:pPr>
              <w:rPr>
                <w:strike/>
              </w:rPr>
            </w:pPr>
            <w:r w:rsidRPr="00E57297">
              <w:rPr>
                <w:strike/>
              </w:rPr>
              <w:t>Bir avukat, başka bir avukata karşı asıl ya da vekil sıfatıyla takip edeceği davayı kendi barosuna bir yazı ile bildirir. Bu kural, bilgi verme yükümlülüğü ile bağlı olarak baroların ve Türkiye Barolar Birliği’nin üçüncü şahısların aleyhine veya üçüncü şahısların barolar ve TBB aleyhine açacağı davalar için de geçerlidir.</w:t>
            </w:r>
          </w:p>
          <w:p w14:paraId="0A2674E8" w14:textId="77777777" w:rsidR="00E57297" w:rsidRDefault="00E57297" w:rsidP="00E57297">
            <w:r>
              <w:t>Resmi ya da özel kuruluşlarda bağımlı olarak birlikte çalışan avukatlar, kadro görevleri ne olursa olsun, adalet ve eşitlik ilkelerinden ayrılmamaya ve iş dağıtımı, denetimi ve her türlü iş ilişkilerinde meslek dayanışmasına ve onuruna uymayan davranışlardan kaçınmaya özen göstermekle yükümlüdürler.</w:t>
            </w:r>
          </w:p>
          <w:p w14:paraId="73F2A5A4" w14:textId="47C40A5D" w:rsidR="001E3C17" w:rsidRDefault="00E57297" w:rsidP="00E57297">
            <w:r>
              <w:t>(Danıştay 8. Daire 17.01.2017 tarih ve 2016/12242E. 2017/31K. sayılı bozma sonrası iptal kararı ile ilk cümle iptal edilmiştir, ikinci cümle de iptal edilen düzenleme ile ilişkili olduğu için tümüyle kaldırılması gerek</w:t>
            </w:r>
            <w:r w:rsidR="00262C12">
              <w:t>liliği nedeniyle</w:t>
            </w:r>
            <w:r>
              <w:t>)</w:t>
            </w:r>
          </w:p>
        </w:tc>
      </w:tr>
      <w:tr w:rsidR="00E57297" w14:paraId="52E82C8E" w14:textId="77777777" w:rsidTr="008D657F">
        <w:tc>
          <w:tcPr>
            <w:tcW w:w="6497" w:type="dxa"/>
          </w:tcPr>
          <w:p w14:paraId="50ECC160" w14:textId="471D3D13" w:rsidR="00E57297" w:rsidRDefault="00E57297" w:rsidP="00E57297">
            <w:r>
              <w:lastRenderedPageBreak/>
              <w:t>28. Bir başka baro bölgesinde ilk kez bir davaya giden avukat, o yer Baro Başkanı’na nezaket ziyaretinde bulunmaya gayret eder.</w:t>
            </w:r>
          </w:p>
        </w:tc>
        <w:tc>
          <w:tcPr>
            <w:tcW w:w="6497" w:type="dxa"/>
          </w:tcPr>
          <w:p w14:paraId="5822B540" w14:textId="77777777" w:rsidR="00E57297" w:rsidRDefault="00E57297" w:rsidP="00E57297">
            <w:r w:rsidRPr="00E57297">
              <w:t>28.</w:t>
            </w:r>
            <w:r w:rsidRPr="00E57297">
              <w:rPr>
                <w:strike/>
              </w:rPr>
              <w:t xml:space="preserve"> Bir başka baro bölgesinde ilk kez bir davaya giden avukat, o yer Baro Başkanı’na nezaket ziyaretinde bulunmaya gayret eder.</w:t>
            </w:r>
          </w:p>
          <w:p w14:paraId="6979866C" w14:textId="133C73E9" w:rsidR="00E57297" w:rsidRPr="00E57297" w:rsidRDefault="00E57297" w:rsidP="00E57297">
            <w:pPr>
              <w:rPr>
                <w:color w:val="FF0000"/>
              </w:rPr>
            </w:pPr>
            <w:r w:rsidRPr="00E57297">
              <w:rPr>
                <w:color w:val="FF0000"/>
              </w:rPr>
              <w:t>Avukat ile bağlı çalışan avukat arasında mesleki anlamda eşitlik ilkesi geçerlidir. Bu ilişki, unvanın ve işin gerektirdiği saygı ve güvene uygun biçimde düzenlenir.</w:t>
            </w:r>
          </w:p>
          <w:p w14:paraId="7626BC64" w14:textId="77777777" w:rsidR="00E57297" w:rsidRPr="00E57297" w:rsidRDefault="00E57297" w:rsidP="00E57297">
            <w:pPr>
              <w:rPr>
                <w:color w:val="FF0000"/>
              </w:rPr>
            </w:pPr>
            <w:r w:rsidRPr="00E57297">
              <w:rPr>
                <w:color w:val="FF0000"/>
              </w:rPr>
              <w:t>Avukat, bağlı çalışan avukata yönelik davranışlarında meslek kurallarını ve avukatın bağımsızlığını gözetir; mesleki gelişimi için gerekli imkânları tanır. Avukat, bağlı çalışan avukatın iş tanımını ve ücretini; meslektaşlık bilincine, mesleğin itibarına ve işin niteliğine göre belirler.</w:t>
            </w:r>
          </w:p>
          <w:p w14:paraId="47163C64" w14:textId="77777777" w:rsidR="00E57297" w:rsidRDefault="00E57297" w:rsidP="00E57297">
            <w:r w:rsidRPr="00E57297">
              <w:rPr>
                <w:color w:val="FF0000"/>
              </w:rPr>
              <w:t>Bağlı çalışan avukat kendisine tevdi edilen işleri, iş ilişkisine ve meslek kurallarına uygun olarak yerine getirir.</w:t>
            </w:r>
          </w:p>
          <w:p w14:paraId="25C35D8A" w14:textId="3228A174" w:rsidR="001E3C17" w:rsidRPr="00E57297" w:rsidRDefault="00E57297" w:rsidP="00E57297">
            <w:pPr>
              <w:rPr>
                <w:color w:val="000000" w:themeColor="text1"/>
              </w:rPr>
            </w:pPr>
            <w:r>
              <w:rPr>
                <w:color w:val="000000" w:themeColor="text1"/>
              </w:rPr>
              <w:t>(28. madde olmazsa, 33a maddesi olarak girilebilir.)</w:t>
            </w:r>
          </w:p>
        </w:tc>
      </w:tr>
      <w:tr w:rsidR="00E57297" w14:paraId="13982F74" w14:textId="77777777" w:rsidTr="008D657F">
        <w:tc>
          <w:tcPr>
            <w:tcW w:w="6497" w:type="dxa"/>
          </w:tcPr>
          <w:p w14:paraId="608C0FC1" w14:textId="4EF7B2AC" w:rsidR="00E57297" w:rsidRDefault="00E57297" w:rsidP="00E57297">
            <w:r>
              <w:t>32. Avukat, dava türü ve usulü ne olursa olsun, mahkemeye verdiği layiha ve önemli belgelerin birer örneğini (istenmese de) karşı taraf vekili meslektaşına verir.</w:t>
            </w:r>
          </w:p>
        </w:tc>
        <w:tc>
          <w:tcPr>
            <w:tcW w:w="6497" w:type="dxa"/>
          </w:tcPr>
          <w:p w14:paraId="78453F3E" w14:textId="2E5B8D28" w:rsidR="00E57297" w:rsidRDefault="00E57297" w:rsidP="00262C12">
            <w:r>
              <w:t xml:space="preserve">32. Avukat, </w:t>
            </w:r>
            <w:r w:rsidRPr="00E57297">
              <w:rPr>
                <w:strike/>
              </w:rPr>
              <w:t>dava türü ve usulü ne olursa olsun,</w:t>
            </w:r>
            <w:r>
              <w:t xml:space="preserve"> </w:t>
            </w:r>
            <w:r w:rsidRPr="001E4CB0">
              <w:rPr>
                <w:color w:val="FF0000"/>
              </w:rPr>
              <w:t xml:space="preserve">duruşma </w:t>
            </w:r>
            <w:r>
              <w:rPr>
                <w:color w:val="FF0000"/>
              </w:rPr>
              <w:t>esnasında</w:t>
            </w:r>
            <w:r w:rsidRPr="001E4CB0">
              <w:rPr>
                <w:color w:val="FF0000"/>
              </w:rPr>
              <w:t xml:space="preserve"> </w:t>
            </w:r>
            <w:r>
              <w:t xml:space="preserve">mahkemeye </w:t>
            </w:r>
            <w:r w:rsidRPr="00E57297">
              <w:rPr>
                <w:strike/>
              </w:rPr>
              <w:t>verdiği layiha</w:t>
            </w:r>
            <w:r>
              <w:t xml:space="preserve"> </w:t>
            </w:r>
            <w:r w:rsidRPr="00260C14">
              <w:rPr>
                <w:color w:val="FF0000"/>
              </w:rPr>
              <w:t>ibraz ettiği ve elektronik ortamda erişim imkânı bulunmayan</w:t>
            </w:r>
            <w:r w:rsidRPr="00E57297">
              <w:rPr>
                <w:color w:val="FF0000"/>
              </w:rPr>
              <w:t xml:space="preserve"> dilekçe </w:t>
            </w:r>
            <w:r>
              <w:t xml:space="preserve">ve </w:t>
            </w:r>
            <w:r w:rsidRPr="00262C12">
              <w:rPr>
                <w:strike/>
              </w:rPr>
              <w:t xml:space="preserve">önemli </w:t>
            </w:r>
            <w:r>
              <w:t xml:space="preserve">belgelerin birer örneğini </w:t>
            </w:r>
            <w:r w:rsidRPr="00E57297">
              <w:rPr>
                <w:strike/>
              </w:rPr>
              <w:t>(istenmese de)</w:t>
            </w:r>
            <w:r>
              <w:t xml:space="preserve"> </w:t>
            </w:r>
            <w:r w:rsidRPr="00E57297">
              <w:rPr>
                <w:color w:val="FF0000"/>
              </w:rPr>
              <w:t>bu konuda ayrıca bir talebe gerek olmaksızın</w:t>
            </w:r>
            <w:r w:rsidRPr="00260C14">
              <w:t xml:space="preserve"> </w:t>
            </w:r>
            <w:r>
              <w:t>karşı taraf vekili</w:t>
            </w:r>
            <w:r>
              <w:rPr>
                <w:color w:val="FF0000"/>
              </w:rPr>
              <w:t>ne</w:t>
            </w:r>
            <w:r>
              <w:t xml:space="preserve"> </w:t>
            </w:r>
            <w:r w:rsidRPr="00E57297">
              <w:rPr>
                <w:strike/>
              </w:rPr>
              <w:t>meslektaşına</w:t>
            </w:r>
            <w:r>
              <w:t xml:space="preserve"> verir.</w:t>
            </w:r>
          </w:p>
        </w:tc>
      </w:tr>
      <w:tr w:rsidR="00E57297" w14:paraId="5ADA3944" w14:textId="77777777" w:rsidTr="008D657F">
        <w:tc>
          <w:tcPr>
            <w:tcW w:w="6497" w:type="dxa"/>
          </w:tcPr>
          <w:p w14:paraId="48EC6AFB" w14:textId="7BEA9DA9" w:rsidR="00E57297" w:rsidRDefault="00E57297" w:rsidP="00E57297">
            <w:r>
              <w:t>33. Yanına stajyer almayı kabul eden avukat, stajyerlerin iyi yetişmesi için gerekli dikkati ve ilgiyi gösterir ve olanaklarını hazırlar.</w:t>
            </w:r>
          </w:p>
        </w:tc>
        <w:tc>
          <w:tcPr>
            <w:tcW w:w="6497" w:type="dxa"/>
          </w:tcPr>
          <w:p w14:paraId="30D0F1D5" w14:textId="581A4F37" w:rsidR="001E3C17" w:rsidRPr="00262C12" w:rsidRDefault="00E57297" w:rsidP="00E57297">
            <w:pPr>
              <w:rPr>
                <w:color w:val="FF0000"/>
              </w:rPr>
            </w:pPr>
            <w:r>
              <w:t xml:space="preserve">33. Yanına stajyer almayı kabul eden avukat, stajyerlerin iyi yetişmesi için gerekli dikkati ve ilgiyi gösterir ve olanaklarını hazırlar. </w:t>
            </w:r>
            <w:r w:rsidRPr="0075178F">
              <w:rPr>
                <w:color w:val="FF0000"/>
              </w:rPr>
              <w:t xml:space="preserve">Stajyer avukatın </w:t>
            </w:r>
            <w:r w:rsidR="00262C12">
              <w:rPr>
                <w:color w:val="FF0000"/>
              </w:rPr>
              <w:t>çalışma şekli</w:t>
            </w:r>
            <w:r w:rsidR="0060132E">
              <w:rPr>
                <w:color w:val="FF0000"/>
              </w:rPr>
              <w:t>ni</w:t>
            </w:r>
            <w:r w:rsidR="00262C12">
              <w:rPr>
                <w:color w:val="FF0000"/>
              </w:rPr>
              <w:t xml:space="preserve"> ve süresini </w:t>
            </w:r>
            <w:r w:rsidRPr="0075178F">
              <w:rPr>
                <w:color w:val="FF0000"/>
              </w:rPr>
              <w:t>zorunlu staj eğitimi</w:t>
            </w:r>
            <w:r w:rsidR="00262C12">
              <w:rPr>
                <w:color w:val="FF0000"/>
              </w:rPr>
              <w:t xml:space="preserve"> programına göre belirler</w:t>
            </w:r>
            <w:r w:rsidRPr="0075178F">
              <w:rPr>
                <w:color w:val="FF0000"/>
              </w:rPr>
              <w:t>.</w:t>
            </w:r>
          </w:p>
        </w:tc>
      </w:tr>
      <w:tr w:rsidR="00E57297" w14:paraId="35AFFD4D" w14:textId="77777777" w:rsidTr="008D657F">
        <w:tc>
          <w:tcPr>
            <w:tcW w:w="6497" w:type="dxa"/>
          </w:tcPr>
          <w:p w14:paraId="730BA072" w14:textId="0C0BA213" w:rsidR="00E57297" w:rsidRDefault="00E57297" w:rsidP="00E57297">
            <w:r>
              <w:lastRenderedPageBreak/>
              <w:t>47. Ücret davası açacak avukat, önce Baro Yönetim Kurulu’na bilgi verir. Bu konuda Baro Yönetim Kurulu’nun görüşünü bildirme yetkisi vardır.</w:t>
            </w:r>
          </w:p>
        </w:tc>
        <w:tc>
          <w:tcPr>
            <w:tcW w:w="6497" w:type="dxa"/>
          </w:tcPr>
          <w:p w14:paraId="20173744" w14:textId="4CB3D84F" w:rsidR="001E3C17" w:rsidRPr="00E57297" w:rsidRDefault="00E57297" w:rsidP="00E57297">
            <w:pPr>
              <w:rPr>
                <w:strike/>
              </w:rPr>
            </w:pPr>
            <w:r w:rsidRPr="00E57297">
              <w:rPr>
                <w:strike/>
              </w:rPr>
              <w:t>47. Ücret davası açacak avukat, önce Baro Yönetim Kurulu’na bilgi verir. Bu konuda Baro Yönetim Kurulu’nun görüşünü bildirme yetkisi vardır.</w:t>
            </w:r>
          </w:p>
        </w:tc>
      </w:tr>
      <w:tr w:rsidR="00E57297" w14:paraId="65CA7DFE" w14:textId="77777777" w:rsidTr="008D657F">
        <w:tc>
          <w:tcPr>
            <w:tcW w:w="6497" w:type="dxa"/>
          </w:tcPr>
          <w:p w14:paraId="7412596D" w14:textId="46046944" w:rsidR="00E57297" w:rsidRDefault="00E57297" w:rsidP="00E57297">
            <w:r>
              <w:t>48. Baro Başkanlığı, Baro Yönetim ve Disiplin Kurulu üyelikleri ile Türkiye Barolar Birliği Başkanlığı, Yönetim Kurulu üyeliği, Türkiye Barolar Birliği Disiplin Kurulu Başkanlığı ve üyeliği görevleri bir kişide birleşemez.</w:t>
            </w:r>
          </w:p>
        </w:tc>
        <w:tc>
          <w:tcPr>
            <w:tcW w:w="6497" w:type="dxa"/>
          </w:tcPr>
          <w:p w14:paraId="7EFDB30A" w14:textId="618B528D" w:rsidR="001E3C17" w:rsidRPr="00262C12" w:rsidRDefault="00E57297" w:rsidP="00E57297">
            <w:r>
              <w:t>48. Baro Başkanlığı, Baro Yönetim</w:t>
            </w:r>
            <w:r>
              <w:rPr>
                <w:color w:val="FF0000"/>
              </w:rPr>
              <w:t>,</w:t>
            </w:r>
            <w:r w:rsidRPr="00E57297">
              <w:rPr>
                <w:strike/>
              </w:rPr>
              <w:t xml:space="preserve"> ve</w:t>
            </w:r>
            <w:r>
              <w:t xml:space="preserve"> Disiplin </w:t>
            </w:r>
            <w:r>
              <w:rPr>
                <w:color w:val="FF0000"/>
              </w:rPr>
              <w:t xml:space="preserve">ve Denetleme </w:t>
            </w:r>
            <w:r>
              <w:t xml:space="preserve">Kurulu üyelikleri ile Türkiye Barolar Birliği Başkanlığı, Yönetim Kurulu üyeliği, Türkiye Barolar Birliği Disiplin </w:t>
            </w:r>
            <w:r>
              <w:rPr>
                <w:color w:val="FF0000"/>
              </w:rPr>
              <w:t xml:space="preserve">ve Denetleme </w:t>
            </w:r>
            <w:r>
              <w:t xml:space="preserve">Kurulu </w:t>
            </w:r>
            <w:r w:rsidRPr="00E57297">
              <w:rPr>
                <w:strike/>
              </w:rPr>
              <w:t>Başkanlığı ve</w:t>
            </w:r>
            <w:r>
              <w:t xml:space="preserve"> üyeliği görevleri bir kişide birleşemez.</w:t>
            </w:r>
          </w:p>
        </w:tc>
      </w:tr>
    </w:tbl>
    <w:p w14:paraId="03474BA5" w14:textId="77777777" w:rsidR="00BE04C1" w:rsidRDefault="00BE04C1"/>
    <w:sectPr w:rsidR="00BE04C1" w:rsidSect="008D657F">
      <w:pgSz w:w="15840" w:h="12240" w:orient="landscape"/>
      <w:pgMar w:top="1418" w:right="1418"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7F"/>
    <w:rsid w:val="000A58F0"/>
    <w:rsid w:val="000C5392"/>
    <w:rsid w:val="000E635E"/>
    <w:rsid w:val="000F7D5A"/>
    <w:rsid w:val="00153577"/>
    <w:rsid w:val="00153B87"/>
    <w:rsid w:val="001A3091"/>
    <w:rsid w:val="001E3C17"/>
    <w:rsid w:val="00260F6A"/>
    <w:rsid w:val="00262C12"/>
    <w:rsid w:val="00340C7D"/>
    <w:rsid w:val="00363AE4"/>
    <w:rsid w:val="00390B4A"/>
    <w:rsid w:val="00393926"/>
    <w:rsid w:val="003A63CE"/>
    <w:rsid w:val="00460DAB"/>
    <w:rsid w:val="004E7705"/>
    <w:rsid w:val="004F6149"/>
    <w:rsid w:val="00582DF8"/>
    <w:rsid w:val="0060132E"/>
    <w:rsid w:val="00601AA4"/>
    <w:rsid w:val="006543AE"/>
    <w:rsid w:val="006612D8"/>
    <w:rsid w:val="006D1DFE"/>
    <w:rsid w:val="007A3B18"/>
    <w:rsid w:val="007F3AAD"/>
    <w:rsid w:val="008D657F"/>
    <w:rsid w:val="008E1497"/>
    <w:rsid w:val="00920DD1"/>
    <w:rsid w:val="009721D0"/>
    <w:rsid w:val="0099405B"/>
    <w:rsid w:val="00A0691F"/>
    <w:rsid w:val="00A37E5D"/>
    <w:rsid w:val="00AC500D"/>
    <w:rsid w:val="00BD6FD1"/>
    <w:rsid w:val="00BE04C1"/>
    <w:rsid w:val="00C07A0E"/>
    <w:rsid w:val="00CF56DA"/>
    <w:rsid w:val="00E3419E"/>
    <w:rsid w:val="00E44A2A"/>
    <w:rsid w:val="00E57297"/>
    <w:rsid w:val="00EC026F"/>
    <w:rsid w:val="00F04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2615DD8"/>
  <w15:chartTrackingRefBased/>
  <w15:docId w15:val="{59FF8A55-6626-AF43-A6B1-379DBEE5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19E"/>
    <w:pPr>
      <w:spacing w:before="100" w:beforeAutospacing="1" w:after="100" w:afterAutospacing="1" w:line="276" w:lineRule="auto"/>
      <w:jc w:val="both"/>
    </w:pPr>
    <w:rPr>
      <w:noProof/>
    </w:rPr>
  </w:style>
  <w:style w:type="paragraph" w:styleId="Balk1">
    <w:name w:val="heading 1"/>
    <w:basedOn w:val="Normal"/>
    <w:next w:val="Normal"/>
    <w:link w:val="Balk1Char"/>
    <w:uiPriority w:val="9"/>
    <w:qFormat/>
    <w:rsid w:val="000E635E"/>
    <w:pPr>
      <w:keepNext/>
      <w:keepLines/>
      <w:spacing w:before="240" w:beforeAutospacing="0" w:after="0" w:afterAutospacing="0" w:line="259" w:lineRule="auto"/>
      <w:jc w:val="center"/>
      <w:outlineLvl w:val="0"/>
    </w:pPr>
    <w:rPr>
      <w:rFonts w:ascii="Times New Roman" w:eastAsiaTheme="majorEastAsia" w:hAnsi="Times New Roman" w:cstheme="majorBidi"/>
      <w:b/>
      <w:noProof w:val="0"/>
      <w:color w:val="000000" w:themeColor="text1"/>
      <w:szCs w:val="32"/>
    </w:rPr>
  </w:style>
  <w:style w:type="paragraph" w:styleId="Balk2">
    <w:name w:val="heading 2"/>
    <w:basedOn w:val="Normal"/>
    <w:next w:val="Normal"/>
    <w:link w:val="Balk2Char"/>
    <w:uiPriority w:val="9"/>
    <w:unhideWhenUsed/>
    <w:qFormat/>
    <w:rsid w:val="000E635E"/>
    <w:pPr>
      <w:keepNext/>
      <w:keepLines/>
      <w:spacing w:before="40" w:beforeAutospacing="0" w:after="0" w:afterAutospacing="0" w:line="259" w:lineRule="auto"/>
      <w:jc w:val="left"/>
      <w:outlineLvl w:val="1"/>
    </w:pPr>
    <w:rPr>
      <w:rFonts w:ascii="Times New Roman" w:eastAsiaTheme="majorEastAsia" w:hAnsi="Times New Roman" w:cstheme="majorBidi"/>
      <w:b/>
      <w:noProof w:val="0"/>
      <w:color w:val="000000" w:themeColor="text1"/>
      <w:szCs w:val="26"/>
    </w:rPr>
  </w:style>
  <w:style w:type="paragraph" w:styleId="Balk3">
    <w:name w:val="heading 3"/>
    <w:basedOn w:val="Normal"/>
    <w:next w:val="Normal"/>
    <w:link w:val="Balk3Char"/>
    <w:autoRedefine/>
    <w:uiPriority w:val="9"/>
    <w:unhideWhenUsed/>
    <w:qFormat/>
    <w:rsid w:val="00390B4A"/>
    <w:pPr>
      <w:keepNext/>
      <w:keepLines/>
      <w:spacing w:before="40" w:beforeAutospacing="0" w:after="0" w:afterAutospacing="0" w:line="240" w:lineRule="auto"/>
      <w:jc w:val="center"/>
      <w:outlineLvl w:val="2"/>
    </w:pPr>
    <w:rPr>
      <w:rFonts w:eastAsiaTheme="majorEastAsia" w:cstheme="majorBidi"/>
      <w:b/>
    </w:rPr>
  </w:style>
  <w:style w:type="paragraph" w:styleId="Balk4">
    <w:name w:val="heading 4"/>
    <w:basedOn w:val="Normal"/>
    <w:next w:val="Normal"/>
    <w:link w:val="Balk4Char"/>
    <w:autoRedefine/>
    <w:unhideWhenUsed/>
    <w:qFormat/>
    <w:rsid w:val="00E3419E"/>
    <w:pPr>
      <w:keepNext/>
      <w:keepLines/>
      <w:suppressAutoHyphens/>
      <w:spacing w:line="360" w:lineRule="auto"/>
      <w:ind w:firstLine="284"/>
      <w:jc w:val="left"/>
      <w:outlineLvl w:val="3"/>
    </w:pPr>
    <w:rPr>
      <w:rFonts w:eastAsia="Times New Roman"/>
      <w:b/>
      <w:iCs/>
      <w:color w:val="000000" w:themeColor="text1"/>
      <w:lang w:eastAsia="tr-TR"/>
    </w:rPr>
  </w:style>
  <w:style w:type="paragraph" w:styleId="Balk5">
    <w:name w:val="heading 5"/>
    <w:basedOn w:val="Normal"/>
    <w:next w:val="Normal"/>
    <w:link w:val="Balk5Char"/>
    <w:autoRedefine/>
    <w:uiPriority w:val="9"/>
    <w:unhideWhenUsed/>
    <w:qFormat/>
    <w:rsid w:val="00E3419E"/>
    <w:pPr>
      <w:keepNext/>
      <w:keepLines/>
      <w:spacing w:before="120" w:beforeAutospacing="0" w:after="120" w:afterAutospacing="0"/>
      <w:ind w:left="709"/>
      <w:jc w:val="left"/>
      <w:outlineLvl w:val="4"/>
    </w:pPr>
    <w:rPr>
      <w:rFonts w:eastAsiaTheme="majorEastAsia" w:cstheme="majorBidi"/>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635E"/>
    <w:rPr>
      <w:rFonts w:ascii="Times New Roman" w:eastAsiaTheme="majorEastAsia" w:hAnsi="Times New Roman" w:cstheme="majorBidi"/>
      <w:b/>
      <w:color w:val="000000" w:themeColor="text1"/>
      <w:szCs w:val="32"/>
    </w:rPr>
  </w:style>
  <w:style w:type="character" w:customStyle="1" w:styleId="Balk2Char">
    <w:name w:val="Başlık 2 Char"/>
    <w:basedOn w:val="VarsaylanParagrafYazTipi"/>
    <w:link w:val="Balk2"/>
    <w:uiPriority w:val="9"/>
    <w:rsid w:val="000E635E"/>
    <w:rPr>
      <w:rFonts w:ascii="Times New Roman" w:eastAsiaTheme="majorEastAsia" w:hAnsi="Times New Roman" w:cstheme="majorBidi"/>
      <w:b/>
      <w:color w:val="000000" w:themeColor="text1"/>
      <w:szCs w:val="26"/>
    </w:rPr>
  </w:style>
  <w:style w:type="character" w:customStyle="1" w:styleId="Balk3Char">
    <w:name w:val="Başlık 3 Char"/>
    <w:basedOn w:val="VarsaylanParagrafYazTipi"/>
    <w:link w:val="Balk3"/>
    <w:uiPriority w:val="9"/>
    <w:rsid w:val="00390B4A"/>
    <w:rPr>
      <w:rFonts w:eastAsiaTheme="majorEastAsia" w:cstheme="majorBidi"/>
      <w:b/>
      <w:noProof/>
    </w:rPr>
  </w:style>
  <w:style w:type="paragraph" w:styleId="AralkYok">
    <w:name w:val="No Spacing"/>
    <w:autoRedefine/>
    <w:uiPriority w:val="1"/>
    <w:qFormat/>
    <w:rsid w:val="003A63CE"/>
    <w:pPr>
      <w:pBdr>
        <w:top w:val="nil"/>
        <w:left w:val="nil"/>
        <w:bottom w:val="nil"/>
        <w:right w:val="nil"/>
        <w:between w:val="nil"/>
        <w:bar w:val="nil"/>
      </w:pBdr>
      <w:spacing w:beforeAutospacing="1" w:afterAutospacing="1" w:line="360" w:lineRule="auto"/>
      <w:jc w:val="both"/>
    </w:pPr>
    <w:rPr>
      <w:rFonts w:ascii="Arial" w:eastAsia="Arial Unicode MS" w:hAnsi="Arial" w:cs="Times New Roman"/>
      <w:b/>
      <w:color w:val="000000" w:themeColor="text1"/>
      <w:bdr w:val="nil"/>
      <w:lang w:val="en-US"/>
    </w:rPr>
  </w:style>
  <w:style w:type="character" w:customStyle="1" w:styleId="Balk4Char">
    <w:name w:val="Başlık 4 Char"/>
    <w:link w:val="Balk4"/>
    <w:rsid w:val="00E3419E"/>
    <w:rPr>
      <w:rFonts w:eastAsia="Times New Roman"/>
      <w:b/>
      <w:iCs/>
      <w:noProof/>
      <w:color w:val="000000" w:themeColor="text1"/>
      <w:lang w:eastAsia="tr-TR"/>
    </w:rPr>
  </w:style>
  <w:style w:type="paragraph" w:customStyle="1" w:styleId="Footnote">
    <w:name w:val="Footnote"/>
    <w:basedOn w:val="Normal"/>
    <w:autoRedefine/>
    <w:qFormat/>
    <w:rsid w:val="000C5392"/>
    <w:pPr>
      <w:suppressLineNumbers/>
      <w:suppressAutoHyphens/>
      <w:autoSpaceDN w:val="0"/>
      <w:ind w:left="340" w:hanging="340"/>
      <w:textAlignment w:val="baseline"/>
    </w:pPr>
    <w:rPr>
      <w:rFonts w:eastAsia="Helvetica" w:cs="Helvetica"/>
      <w:color w:val="000000"/>
      <w:sz w:val="20"/>
      <w:szCs w:val="20"/>
    </w:rPr>
  </w:style>
  <w:style w:type="paragraph" w:styleId="DipnotMetni">
    <w:name w:val="footnote text"/>
    <w:basedOn w:val="Normal"/>
    <w:link w:val="DipnotMetniChar"/>
    <w:autoRedefine/>
    <w:unhideWhenUsed/>
    <w:qFormat/>
    <w:rsid w:val="00E3419E"/>
    <w:pPr>
      <w:spacing w:before="0" w:beforeAutospacing="0" w:after="120" w:afterAutospacing="0" w:line="240" w:lineRule="auto"/>
    </w:pPr>
    <w:rPr>
      <w:sz w:val="20"/>
      <w:szCs w:val="20"/>
    </w:rPr>
  </w:style>
  <w:style w:type="character" w:customStyle="1" w:styleId="DipnotMetniChar">
    <w:name w:val="Dipnot Metni Char"/>
    <w:basedOn w:val="VarsaylanParagrafYazTipi"/>
    <w:link w:val="DipnotMetni"/>
    <w:rsid w:val="00E3419E"/>
    <w:rPr>
      <w:noProof/>
      <w:sz w:val="20"/>
      <w:szCs w:val="20"/>
    </w:rPr>
  </w:style>
  <w:style w:type="character" w:customStyle="1" w:styleId="Balk5Char">
    <w:name w:val="Başlık 5 Char"/>
    <w:basedOn w:val="VarsaylanParagrafYazTipi"/>
    <w:link w:val="Balk5"/>
    <w:uiPriority w:val="9"/>
    <w:rsid w:val="00E3419E"/>
    <w:rPr>
      <w:rFonts w:eastAsiaTheme="majorEastAsia" w:cstheme="majorBidi"/>
      <w:b/>
      <w:noProof/>
      <w:color w:val="000000" w:themeColor="text1"/>
    </w:rPr>
  </w:style>
  <w:style w:type="table" w:styleId="TabloKlavuzu">
    <w:name w:val="Table Grid"/>
    <w:basedOn w:val="NormalTablo"/>
    <w:uiPriority w:val="39"/>
    <w:rsid w:val="008D6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1004</Words>
  <Characters>5727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Kasım Akbaş</dc:creator>
  <cp:keywords/>
  <dc:description/>
  <cp:lastModifiedBy>Kasım Akbaş</cp:lastModifiedBy>
  <cp:revision>3</cp:revision>
  <dcterms:created xsi:type="dcterms:W3CDTF">2022-11-17T10:01:00Z</dcterms:created>
  <dcterms:modified xsi:type="dcterms:W3CDTF">2022-11-17T12:32:00Z</dcterms:modified>
</cp:coreProperties>
</file>